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eeu24vlm3cgx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OPH12 / OPH12K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Preparadores de pedidos verticales compactos y de alto rendimiento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Los modelos </w:t>
      </w:r>
      <w:r w:rsidDel="00000000" w:rsidR="00000000" w:rsidRPr="00000000">
        <w:rPr>
          <w:b w:val="1"/>
          <w:bCs w:val="1"/>
          <w:rtl w:val="0"/>
        </w:rPr>
        <w:t xml:space="preserve">OPH12</w:t>
      </w:r>
      <w:r w:rsidDel="00000000" w:rsidR="00000000" w:rsidRPr="00000000">
        <w:rPr>
          <w:rtl w:val="0"/>
        </w:rPr>
        <w:t xml:space="preserve"> y </w:t>
      </w:r>
      <w:r w:rsidDel="00000000" w:rsidR="00000000" w:rsidRPr="00000000">
        <w:rPr>
          <w:b w:val="1"/>
          <w:bCs w:val="1"/>
          <w:rtl w:val="0"/>
        </w:rPr>
        <w:t xml:space="preserve">OPH12K</w:t>
      </w:r>
      <w:r w:rsidDel="00000000" w:rsidR="00000000" w:rsidRPr="00000000">
        <w:rPr>
          <w:rtl w:val="0"/>
        </w:rPr>
        <w:t xml:space="preserve"> son preparadores de pedidos verticales diseñados para ofrecer </w:t>
      </w:r>
      <w:r w:rsidDel="00000000" w:rsidR="00000000" w:rsidRPr="00000000">
        <w:rPr>
          <w:b w:val="1"/>
          <w:bCs w:val="1"/>
          <w:rtl w:val="0"/>
        </w:rPr>
        <w:t xml:space="preserve">máxima eficiencia en espacios reducidos</w:t>
      </w:r>
      <w:r w:rsidDel="00000000" w:rsidR="00000000" w:rsidRPr="00000000">
        <w:rPr>
          <w:rtl w:val="0"/>
        </w:rPr>
        <w:t xml:space="preserve">. Su diseño compacto y ergonómico, junto con </w:t>
      </w:r>
      <w:r w:rsidDel="00000000" w:rsidR="00000000" w:rsidRPr="00000000">
        <w:rPr>
          <w:b w:val="1"/>
          <w:bCs w:val="1"/>
          <w:rtl w:val="0"/>
        </w:rPr>
        <w:t xml:space="preserve">motores de corriente alterna (CA) de alto rendimiento</w:t>
      </w:r>
      <w:r w:rsidDel="00000000" w:rsidR="00000000" w:rsidRPr="00000000">
        <w:rPr>
          <w:rtl w:val="0"/>
        </w:rPr>
        <w:t xml:space="preserve"> y </w:t>
      </w:r>
      <w:r w:rsidDel="00000000" w:rsidR="00000000" w:rsidRPr="00000000">
        <w:rPr>
          <w:b w:val="1"/>
          <w:bCs w:val="1"/>
          <w:rtl w:val="0"/>
        </w:rPr>
        <w:t xml:space="preserve">baterías de gran capacidad</w:t>
      </w:r>
      <w:r w:rsidDel="00000000" w:rsidR="00000000" w:rsidRPr="00000000">
        <w:rPr>
          <w:rtl w:val="0"/>
        </w:rPr>
        <w:t xml:space="preserve">, garantizan un funcionamiento ágil, seguro y duradero en todo tipo de operaciones logísticas.</w:t>
      </w:r>
    </w:p>
    <w:p w:rsidR="00000000" w:rsidDel="00000000" w:rsidP="00000000" w:rsidRDefault="00000000" w:rsidRPr="00000000" w14:paraId="00000004">
      <w:pPr>
        <w:pStyle w:val="Heading4"/>
        <w:keepNext w:val="0"/>
        <w:keepLines w:val="0"/>
        <w:spacing w:after="40" w:before="240" w:lineRule="auto"/>
        <w:rPr>
          <w:b w:val="1"/>
          <w:bCs w:val="1"/>
          <w:color w:val="000000"/>
          <w:sz w:val="22"/>
          <w:szCs w:val="22"/>
        </w:rPr>
      </w:pPr>
      <w:bookmarkStart w:colFirst="0" w:colLast="0" w:name="_xahh1r7g0tvj" w:id="1"/>
      <w:bookmarkEnd w:id="1"/>
      <w:r w:rsidDel="00000000" w:rsidR="00000000" w:rsidRPr="00000000">
        <w:rPr>
          <w:b w:val="1"/>
          <w:bCs w:val="1"/>
          <w:color w:val="000000"/>
          <w:sz w:val="22"/>
          <w:szCs w:val="22"/>
          <w:rtl w:val="0"/>
        </w:rPr>
        <w:t xml:space="preserve">Características principales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Accionamiento eléctrico con batería.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Posición del operador en plataforma</w:t>
      </w:r>
      <w:r w:rsidDel="00000000" w:rsidR="00000000" w:rsidRPr="00000000">
        <w:rPr>
          <w:rtl w:val="0"/>
        </w:rPr>
        <w:t xml:space="preserve">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Capacidad de carga de hasta 1.200 kg</w:t>
      </w:r>
      <w:r w:rsidDel="00000000" w:rsidR="00000000" w:rsidRPr="00000000">
        <w:rPr>
          <w:rtl w:val="0"/>
        </w:rPr>
        <w:t xml:space="preserve"> con </w:t>
      </w:r>
      <w:r w:rsidDel="00000000" w:rsidR="00000000" w:rsidRPr="00000000">
        <w:rPr>
          <w:b w:val="1"/>
          <w:bCs w:val="1"/>
          <w:rtl w:val="0"/>
        </w:rPr>
        <w:t xml:space="preserve">centro de carga de 600 mm.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Chasis compacto</w:t>
      </w:r>
      <w:r w:rsidDel="00000000" w:rsidR="00000000" w:rsidRPr="00000000">
        <w:rPr>
          <w:rtl w:val="0"/>
        </w:rPr>
        <w:t xml:space="preserve"> con una </w:t>
      </w:r>
      <w:r w:rsidDel="00000000" w:rsidR="00000000" w:rsidRPr="00000000">
        <w:rPr>
          <w:b w:val="1"/>
          <w:bCs w:val="1"/>
          <w:rtl w:val="0"/>
        </w:rPr>
        <w:t xml:space="preserve">distancia entre ejes de 1.576 mm.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Ruedas de poliuretano (PU).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Dirección eléctrica asistida (EPS)</w:t>
      </w:r>
      <w:r w:rsidDel="00000000" w:rsidR="00000000" w:rsidRPr="00000000">
        <w:rPr>
          <w:rtl w:val="0"/>
        </w:rPr>
        <w:t xml:space="preserve">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Estructura robusta</w:t>
      </w:r>
      <w:r w:rsidDel="00000000" w:rsidR="00000000" w:rsidRPr="00000000">
        <w:rPr>
          <w:rtl w:val="0"/>
        </w:rPr>
        <w:t xml:space="preserve"> y </w:t>
      </w:r>
      <w:r w:rsidDel="00000000" w:rsidR="00000000" w:rsidRPr="00000000">
        <w:rPr>
          <w:b w:val="1"/>
          <w:bCs w:val="1"/>
          <w:rtl w:val="0"/>
        </w:rPr>
        <w:t xml:space="preserve">centro de gravedad optimizado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